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95E35" w14:textId="7A0E7D93" w:rsidR="00726448" w:rsidRPr="007C0F9A" w:rsidRDefault="00726448" w:rsidP="00C90A24">
      <w:pPr>
        <w:pStyle w:val="NormalWeb"/>
        <w:spacing w:before="0" w:beforeAutospacing="0" w:after="0" w:afterAutospacing="0"/>
        <w:jc w:val="center"/>
        <w:rPr>
          <w:b/>
          <w:bCs/>
          <w:color w:val="000050"/>
          <w:sz w:val="28"/>
          <w:szCs w:val="28"/>
        </w:rPr>
      </w:pPr>
      <w:r w:rsidRPr="007C0F9A">
        <w:rPr>
          <w:b/>
          <w:bCs/>
          <w:color w:val="000050"/>
          <w:sz w:val="28"/>
          <w:szCs w:val="28"/>
        </w:rPr>
        <w:t xml:space="preserve">Operating Procedure </w:t>
      </w:r>
      <w:r w:rsidR="00B511C3">
        <w:rPr>
          <w:b/>
          <w:bCs/>
          <w:color w:val="000050"/>
          <w:sz w:val="28"/>
          <w:szCs w:val="28"/>
        </w:rPr>
        <w:t>07</w:t>
      </w:r>
      <w:r w:rsidR="009066E4" w:rsidRPr="007C0F9A">
        <w:rPr>
          <w:b/>
          <w:bCs/>
          <w:color w:val="000050"/>
          <w:sz w:val="28"/>
          <w:szCs w:val="28"/>
        </w:rPr>
        <w:t xml:space="preserve"> -</w:t>
      </w:r>
      <w:r w:rsidRPr="007C0F9A">
        <w:rPr>
          <w:b/>
          <w:bCs/>
          <w:color w:val="000050"/>
          <w:sz w:val="28"/>
          <w:szCs w:val="28"/>
        </w:rPr>
        <w:t xml:space="preserve"> </w:t>
      </w:r>
      <w:r w:rsidR="00B511C3" w:rsidRPr="00B511C3">
        <w:rPr>
          <w:b/>
          <w:bCs/>
          <w:color w:val="000050"/>
          <w:sz w:val="28"/>
          <w:szCs w:val="28"/>
        </w:rPr>
        <w:t>Award</w:t>
      </w:r>
      <w:r w:rsidR="00D60A66">
        <w:rPr>
          <w:b/>
          <w:bCs/>
          <w:color w:val="000050"/>
          <w:sz w:val="28"/>
          <w:szCs w:val="28"/>
        </w:rPr>
        <w:t>s</w:t>
      </w:r>
    </w:p>
    <w:p w14:paraId="09DFE495" w14:textId="77777777" w:rsidR="00630D0E" w:rsidRDefault="00630D0E" w:rsidP="00B02AC1">
      <w:pPr>
        <w:pStyle w:val="NormalWeb"/>
        <w:spacing w:before="0" w:beforeAutospacing="0" w:after="0" w:afterAutospacing="0"/>
      </w:pPr>
    </w:p>
    <w:p w14:paraId="6D50ECFC" w14:textId="028A54DA" w:rsidR="00726448" w:rsidRDefault="00726448" w:rsidP="00C90A24">
      <w:pPr>
        <w:pStyle w:val="NormalWeb"/>
        <w:spacing w:before="0" w:beforeAutospacing="0" w:after="0" w:afterAutospacing="0"/>
        <w:rPr>
          <w:b/>
          <w:bCs/>
        </w:rPr>
      </w:pPr>
      <w:r>
        <w:rPr>
          <w:b/>
          <w:bCs/>
        </w:rPr>
        <w:t xml:space="preserve">Purpose: </w:t>
      </w:r>
      <w:r w:rsidR="00D60A66" w:rsidRPr="00D60A66">
        <w:rPr>
          <w:b/>
          <w:bCs/>
        </w:rPr>
        <w:t>To provide criteria and procedures for recognizing outstanding service to construction education and to the Associated Schools of Construction.</w:t>
      </w:r>
    </w:p>
    <w:p w14:paraId="54A07CFA" w14:textId="77777777" w:rsidR="00C90A24" w:rsidRDefault="00C90A24" w:rsidP="00C90A24">
      <w:pPr>
        <w:pStyle w:val="NormalWeb"/>
        <w:spacing w:before="0" w:beforeAutospacing="0" w:after="0" w:afterAutospacing="0"/>
      </w:pPr>
    </w:p>
    <w:p w14:paraId="2BE75F5C" w14:textId="56DE11E3" w:rsidR="00726448" w:rsidRDefault="00726448" w:rsidP="00C90A24">
      <w:pPr>
        <w:pStyle w:val="NormalWeb"/>
        <w:spacing w:before="0" w:beforeAutospacing="0" w:after="0" w:afterAutospacing="0"/>
        <w:rPr>
          <w:b/>
          <w:bCs/>
        </w:rPr>
      </w:pPr>
      <w:r>
        <w:rPr>
          <w:b/>
          <w:bCs/>
        </w:rPr>
        <w:t>Reference</w:t>
      </w:r>
      <w:r w:rsidR="00D60A66">
        <w:rPr>
          <w:b/>
          <w:bCs/>
        </w:rPr>
        <w:t>:</w:t>
      </w:r>
      <w:r>
        <w:rPr>
          <w:b/>
          <w:bCs/>
        </w:rPr>
        <w:t xml:space="preserve"> </w:t>
      </w:r>
      <w:r w:rsidR="00D60A66" w:rsidRPr="00D60A66">
        <w:rPr>
          <w:b/>
          <w:bCs/>
        </w:rPr>
        <w:t>Article IX of the ASC Bylaws. Special Committees may be appointed by the President and will report as directed.</w:t>
      </w:r>
    </w:p>
    <w:p w14:paraId="66420C69" w14:textId="1F2D1F00" w:rsidR="00C90A24" w:rsidRDefault="00C90A24" w:rsidP="00C90A24">
      <w:pPr>
        <w:pStyle w:val="NormalWeb"/>
        <w:spacing w:before="0" w:beforeAutospacing="0" w:after="0" w:afterAutospacing="0"/>
      </w:pPr>
    </w:p>
    <w:p w14:paraId="210B096F" w14:textId="1AF219D1" w:rsidR="00D60A66" w:rsidRDefault="00D60A66" w:rsidP="00C90A24">
      <w:pPr>
        <w:pStyle w:val="NormalWeb"/>
        <w:spacing w:before="0" w:beforeAutospacing="0" w:after="0" w:afterAutospacing="0"/>
      </w:pPr>
      <w:r>
        <w:t>Note: All Awardees should be present at the Annual International Conference to accept these awards.</w:t>
      </w:r>
    </w:p>
    <w:p w14:paraId="0F096B98" w14:textId="77777777" w:rsidR="00D60A66" w:rsidRPr="00D60A66" w:rsidRDefault="00D60A66" w:rsidP="00C90A24">
      <w:pPr>
        <w:pStyle w:val="NormalWeb"/>
        <w:spacing w:before="0" w:beforeAutospacing="0" w:after="0" w:afterAutospacing="0"/>
      </w:pPr>
    </w:p>
    <w:p w14:paraId="0D15F809" w14:textId="5E96E62C" w:rsidR="00D60A66" w:rsidRPr="00D60A66" w:rsidRDefault="00D60A66" w:rsidP="00D60A66">
      <w:pPr>
        <w:pStyle w:val="NormalWeb"/>
        <w:numPr>
          <w:ilvl w:val="0"/>
          <w:numId w:val="24"/>
        </w:numPr>
        <w:spacing w:before="0" w:beforeAutospacing="0" w:after="0" w:afterAutospacing="0"/>
        <w:ind w:left="360"/>
        <w:rPr>
          <w:bCs/>
          <w:u w:val="single"/>
        </w:rPr>
      </w:pPr>
      <w:r w:rsidRPr="00D60A66">
        <w:rPr>
          <w:rStyle w:val="Strong"/>
          <w:u w:val="single"/>
        </w:rPr>
        <w:t>ASC Lifetime Achievement Award</w:t>
      </w:r>
      <w:r w:rsidRPr="00D60A66">
        <w:t xml:space="preserve"> (1 award max per year) is presented to academic or industry individuals who have made significant lifelong contributions to construction education. The Board of Directors selects the recipient. This award includes complimentary conference registration, compensation for travel and hotel to the annual conference, and a plaque.  Upon being awarded, this individual will receive lifetime complimentary conference registration for all future conferences they attend.</w:t>
      </w:r>
      <w:r w:rsidR="006B4CCF">
        <w:t xml:space="preserve"> See OP 7A for details.</w:t>
      </w:r>
    </w:p>
    <w:p w14:paraId="40314223" w14:textId="77777777" w:rsidR="00D60A66" w:rsidRPr="00D60A66" w:rsidRDefault="00D60A66" w:rsidP="00D60A66">
      <w:pPr>
        <w:pStyle w:val="NormalWeb"/>
        <w:spacing w:before="0" w:beforeAutospacing="0" w:after="0" w:afterAutospacing="0"/>
        <w:rPr>
          <w:rStyle w:val="Strong"/>
          <w:b w:val="0"/>
          <w:u w:val="single"/>
        </w:rPr>
      </w:pPr>
    </w:p>
    <w:p w14:paraId="30E2486F" w14:textId="1BAC7085" w:rsidR="001D1532" w:rsidRDefault="00D60A66" w:rsidP="001D1532">
      <w:pPr>
        <w:pStyle w:val="NormalWeb"/>
        <w:numPr>
          <w:ilvl w:val="0"/>
          <w:numId w:val="24"/>
        </w:numPr>
        <w:spacing w:before="0" w:beforeAutospacing="0" w:after="0" w:afterAutospacing="0"/>
        <w:ind w:left="360"/>
      </w:pPr>
      <w:r w:rsidRPr="00D60A66">
        <w:rPr>
          <w:rStyle w:val="Strong"/>
          <w:u w:val="single"/>
        </w:rPr>
        <w:t>ASC International Outstanding Educator Award</w:t>
      </w:r>
      <w:r w:rsidRPr="00D60A66">
        <w:t xml:space="preserve"> (1 award max per year) is chosen from the recipients of the Regional Outstanding Educator Award by the ASC Awards Committee and presented at the Annual International Conference.</w:t>
      </w:r>
      <w:r w:rsidR="006B4CCF">
        <w:t xml:space="preserve"> See OP 7B for details.</w:t>
      </w:r>
    </w:p>
    <w:p w14:paraId="55657910" w14:textId="77777777" w:rsidR="001D1532" w:rsidRDefault="001D1532" w:rsidP="001D1532">
      <w:pPr>
        <w:pStyle w:val="NormalWeb"/>
        <w:spacing w:before="0" w:beforeAutospacing="0" w:after="0" w:afterAutospacing="0"/>
      </w:pPr>
    </w:p>
    <w:p w14:paraId="1D0C6B35" w14:textId="77777777" w:rsidR="001D1532" w:rsidRPr="00D60A66" w:rsidRDefault="001D1532" w:rsidP="001D1532">
      <w:pPr>
        <w:pStyle w:val="NormalWeb"/>
        <w:numPr>
          <w:ilvl w:val="0"/>
          <w:numId w:val="24"/>
        </w:numPr>
        <w:spacing w:before="0" w:beforeAutospacing="0" w:after="0" w:afterAutospacing="0"/>
        <w:ind w:left="360"/>
        <w:rPr>
          <w:rStyle w:val="Strong"/>
          <w:b w:val="0"/>
          <w:u w:val="single"/>
        </w:rPr>
      </w:pPr>
      <w:r w:rsidRPr="00D60A66">
        <w:rPr>
          <w:rStyle w:val="Strong"/>
          <w:u w:val="single"/>
        </w:rPr>
        <w:t>ASC International Excellence in Teaching Award</w:t>
      </w:r>
      <w:r w:rsidRPr="00D60A66">
        <w:rPr>
          <w:rStyle w:val="Strong"/>
          <w:b w:val="0"/>
        </w:rPr>
        <w:t xml:space="preserve"> (1 award max per year)</w:t>
      </w:r>
      <w:r w:rsidRPr="00D60A66">
        <w:t xml:space="preserve"> is chosen from the recipients of the Regional Teaching Award by the ASC Awards Committee and presented at the Annual International Conference. </w:t>
      </w:r>
      <w:r>
        <w:t>See OP 7C for details.</w:t>
      </w:r>
    </w:p>
    <w:p w14:paraId="2438516A" w14:textId="416564D3" w:rsidR="00D60A66" w:rsidRDefault="00D60A66" w:rsidP="00D60A66">
      <w:pPr>
        <w:pStyle w:val="NormalWeb"/>
        <w:spacing w:before="0" w:beforeAutospacing="0" w:after="0" w:afterAutospacing="0"/>
      </w:pPr>
    </w:p>
    <w:p w14:paraId="34E7A164" w14:textId="1F616489" w:rsidR="001D1532" w:rsidRDefault="001D1532" w:rsidP="001D1532">
      <w:pPr>
        <w:pStyle w:val="NormalWeb"/>
        <w:numPr>
          <w:ilvl w:val="0"/>
          <w:numId w:val="24"/>
        </w:numPr>
        <w:spacing w:before="0" w:beforeAutospacing="0" w:after="0" w:afterAutospacing="0"/>
        <w:ind w:left="360"/>
      </w:pPr>
      <w:r w:rsidRPr="00160BFE">
        <w:rPr>
          <w:b/>
          <w:u w:val="single"/>
        </w:rPr>
        <w:t xml:space="preserve">ASC </w:t>
      </w:r>
      <w:r w:rsidRPr="00160BFE">
        <w:rPr>
          <w:rStyle w:val="Strong"/>
          <w:u w:val="single"/>
        </w:rPr>
        <w:t>International</w:t>
      </w:r>
      <w:r w:rsidRPr="00160BFE">
        <w:rPr>
          <w:b/>
          <w:u w:val="single"/>
        </w:rPr>
        <w:t xml:space="preserve"> Outstanding Researcher Award</w:t>
      </w:r>
      <w:r w:rsidRPr="00160BFE">
        <w:t xml:space="preserve"> (1 award max per year) is presented at the Annual International Conference to a full-time faculty member who has contributed to the dissemination of scholarly work within the Associated Schools of Construction community. Nominations are received and approved by the ASC Awards Committee for a vote.</w:t>
      </w:r>
      <w:r>
        <w:t xml:space="preserve"> See OP 07D for details.</w:t>
      </w:r>
    </w:p>
    <w:p w14:paraId="69D9C991" w14:textId="77777777" w:rsidR="001D1532" w:rsidRPr="00D60A66" w:rsidRDefault="001D1532" w:rsidP="00D60A66">
      <w:pPr>
        <w:pStyle w:val="NormalWeb"/>
        <w:spacing w:before="0" w:beforeAutospacing="0" w:after="0" w:afterAutospacing="0"/>
      </w:pPr>
    </w:p>
    <w:p w14:paraId="0C7778A6" w14:textId="328ECF81" w:rsidR="00D60A66" w:rsidRDefault="00D60A66" w:rsidP="00D60A66">
      <w:pPr>
        <w:pStyle w:val="NormalWeb"/>
        <w:numPr>
          <w:ilvl w:val="0"/>
          <w:numId w:val="24"/>
        </w:numPr>
        <w:spacing w:before="0" w:beforeAutospacing="0" w:after="0" w:afterAutospacing="0"/>
        <w:ind w:left="360"/>
      </w:pPr>
      <w:r w:rsidRPr="00D60A66">
        <w:rPr>
          <w:rStyle w:val="Strong"/>
          <w:u w:val="single"/>
        </w:rPr>
        <w:t>ASC Regional Outstanding Educator Award</w:t>
      </w:r>
      <w:r w:rsidRPr="00D60A66">
        <w:rPr>
          <w:rStyle w:val="Strong"/>
          <w:b w:val="0"/>
        </w:rPr>
        <w:t xml:space="preserve"> (1 regional award per year) </w:t>
      </w:r>
      <w:r w:rsidRPr="00D60A66">
        <w:t xml:space="preserve">is selected by the region and presented at the Annual International Conference to a mid- to late-career faculty member who has a minimum of seven years teaching experience at an ASC member school and who has made a significant contribution to construction education. </w:t>
      </w:r>
      <w:r w:rsidR="006B4CCF">
        <w:t>See OP 7</w:t>
      </w:r>
      <w:r w:rsidR="001D1532">
        <w:t>E</w:t>
      </w:r>
      <w:r w:rsidR="006B4CCF">
        <w:t xml:space="preserve"> for details.</w:t>
      </w:r>
    </w:p>
    <w:p w14:paraId="3EE8CD6E" w14:textId="77777777" w:rsidR="00D60A66" w:rsidRPr="00D60A66" w:rsidRDefault="00D60A66" w:rsidP="00D60A66">
      <w:pPr>
        <w:pStyle w:val="NormalWeb"/>
        <w:spacing w:before="0" w:beforeAutospacing="0" w:after="0" w:afterAutospacing="0"/>
        <w:rPr>
          <w:rStyle w:val="Strong"/>
          <w:b w:val="0"/>
          <w:u w:val="single"/>
        </w:rPr>
      </w:pPr>
    </w:p>
    <w:p w14:paraId="0F2B3ECD" w14:textId="3261DB2C" w:rsidR="00D60A66" w:rsidRPr="00D60A66" w:rsidRDefault="00D60A66" w:rsidP="00D60A66">
      <w:pPr>
        <w:pStyle w:val="NormalWeb"/>
        <w:numPr>
          <w:ilvl w:val="0"/>
          <w:numId w:val="24"/>
        </w:numPr>
        <w:spacing w:before="0" w:beforeAutospacing="0" w:after="0" w:afterAutospacing="0"/>
        <w:ind w:left="360"/>
      </w:pPr>
      <w:r w:rsidRPr="00D60A66">
        <w:rPr>
          <w:rStyle w:val="Strong"/>
          <w:u w:val="single"/>
        </w:rPr>
        <w:t>ASC Regional Teaching Award</w:t>
      </w:r>
      <w:r w:rsidRPr="00D60A66">
        <w:rPr>
          <w:rStyle w:val="Strong"/>
          <w:b w:val="0"/>
        </w:rPr>
        <w:t xml:space="preserve"> (multiple regional awards each year) </w:t>
      </w:r>
      <w:r w:rsidRPr="00D60A66">
        <w:t>These awards are given to untenured or tenure track faculty, who have two to six years of teaching experience at an ASC member school</w:t>
      </w:r>
      <w:r w:rsidR="0033288C">
        <w:t>.</w:t>
      </w:r>
      <w:r w:rsidRPr="00D60A66">
        <w:t xml:space="preserve"> </w:t>
      </w:r>
      <w:bookmarkStart w:id="0" w:name="_GoBack"/>
      <w:bookmarkEnd w:id="0"/>
      <w:r w:rsidR="006B4CCF">
        <w:t>See OP 7</w:t>
      </w:r>
      <w:r w:rsidR="001D1532">
        <w:t>F</w:t>
      </w:r>
      <w:r w:rsidR="006B4CCF">
        <w:t xml:space="preserve"> for details.</w:t>
      </w:r>
    </w:p>
    <w:p w14:paraId="392F7968" w14:textId="77777777" w:rsidR="00160BFE" w:rsidRPr="00160BFE" w:rsidRDefault="00160BFE" w:rsidP="00160BFE">
      <w:pPr>
        <w:pStyle w:val="NormalWeb"/>
        <w:spacing w:before="0" w:beforeAutospacing="0" w:after="0" w:afterAutospacing="0"/>
      </w:pPr>
    </w:p>
    <w:p w14:paraId="371E0BA1" w14:textId="6D516D9C" w:rsidR="00160BFE" w:rsidRDefault="00160BFE" w:rsidP="00D259DB">
      <w:pPr>
        <w:pStyle w:val="NormalWeb"/>
        <w:numPr>
          <w:ilvl w:val="0"/>
          <w:numId w:val="24"/>
        </w:numPr>
        <w:spacing w:before="0" w:beforeAutospacing="0" w:after="0" w:afterAutospacing="0"/>
        <w:ind w:left="360"/>
      </w:pPr>
      <w:r w:rsidRPr="00D259DB">
        <w:rPr>
          <w:b/>
          <w:u w:val="single"/>
        </w:rPr>
        <w:t>Special Awards</w:t>
      </w:r>
      <w:r w:rsidRPr="00160BFE">
        <w:t xml:space="preserve"> are developed at the discretion of the Board of Directors. The Associated Schools of Construction must receive nominations and recommendations by 5 days prior to the regional meetings.</w:t>
      </w:r>
    </w:p>
    <w:p w14:paraId="67E6E9EA" w14:textId="77777777" w:rsidR="00160BFE" w:rsidRPr="00160BFE" w:rsidRDefault="00160BFE" w:rsidP="00160BFE">
      <w:pPr>
        <w:pStyle w:val="NormalWeb"/>
        <w:spacing w:before="0" w:beforeAutospacing="0" w:after="0" w:afterAutospacing="0"/>
      </w:pPr>
    </w:p>
    <w:p w14:paraId="2186CA3C" w14:textId="20D80EED" w:rsidR="00160BFE" w:rsidRPr="00160BFE" w:rsidRDefault="00160BFE" w:rsidP="00A85DD0">
      <w:pPr>
        <w:pStyle w:val="NormalWeb"/>
        <w:numPr>
          <w:ilvl w:val="0"/>
          <w:numId w:val="24"/>
        </w:numPr>
        <w:spacing w:before="0" w:beforeAutospacing="0" w:after="0" w:afterAutospacing="0"/>
        <w:ind w:left="360"/>
      </w:pPr>
      <w:r w:rsidRPr="00D259DB">
        <w:rPr>
          <w:b/>
          <w:u w:val="single"/>
        </w:rPr>
        <w:t>Service Awards</w:t>
      </w:r>
      <w:r w:rsidR="00D259DB">
        <w:t xml:space="preserve"> </w:t>
      </w:r>
      <w:r w:rsidRPr="00160BFE">
        <w:t>are to recognize the service of officers of the ASC upon completion of their terms of office by presentation of a plaque at the ASC Annual International Conference.</w:t>
      </w:r>
    </w:p>
    <w:sectPr w:rsidR="00160BFE" w:rsidRPr="00160BFE" w:rsidSect="008D1EA4">
      <w:headerReference w:type="default" r:id="rId7"/>
      <w:footerReference w:type="default" r:id="rId8"/>
      <w:pgSz w:w="12240" w:h="15840" w:code="1"/>
      <w:pgMar w:top="108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5A253" w14:textId="77777777" w:rsidR="00B026CB" w:rsidRDefault="00B026CB">
      <w:r>
        <w:separator/>
      </w:r>
    </w:p>
  </w:endnote>
  <w:endnote w:type="continuationSeparator" w:id="0">
    <w:p w14:paraId="57B247F6" w14:textId="77777777" w:rsidR="00B026CB" w:rsidRDefault="00B0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E2BB" w14:textId="020B83EE" w:rsidR="007C0F9A" w:rsidRDefault="007C0F9A" w:rsidP="00FF346E">
    <w:pPr>
      <w:pStyle w:val="Footer"/>
      <w:jc w:val="center"/>
    </w:pPr>
    <w:r>
      <w:fldChar w:fldCharType="begin"/>
    </w:r>
    <w:r>
      <w:instrText xml:space="preserve"> PAGE   \* MERGEFORMAT </w:instrText>
    </w:r>
    <w:r>
      <w:fldChar w:fldCharType="separate"/>
    </w:r>
    <w:r w:rsidR="008604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AFD33" w14:textId="77777777" w:rsidR="00B026CB" w:rsidRDefault="00B026CB">
      <w:r>
        <w:separator/>
      </w:r>
    </w:p>
  </w:footnote>
  <w:footnote w:type="continuationSeparator" w:id="0">
    <w:p w14:paraId="20A32CC0" w14:textId="77777777" w:rsidR="00B026CB" w:rsidRDefault="00B02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7DD6E" w14:textId="47AD49C4" w:rsidR="007C0F9A" w:rsidRPr="00047C9D" w:rsidRDefault="008D1EA4" w:rsidP="00047C9D">
    <w:pPr>
      <w:pStyle w:val="Header"/>
      <w:tabs>
        <w:tab w:val="clear" w:pos="4320"/>
        <w:tab w:val="clear" w:pos="8640"/>
        <w:tab w:val="left" w:pos="5760"/>
      </w:tabs>
    </w:pPr>
    <w:r w:rsidRPr="00047C9D">
      <w:t>Associated Schools of Construction</w:t>
    </w:r>
    <w:r w:rsidRPr="00047C9D">
      <w:tab/>
    </w:r>
    <w:r w:rsidR="007C0F9A" w:rsidRPr="00047C9D">
      <w:t>OP</w:t>
    </w:r>
    <w:r w:rsidR="00D672E3" w:rsidRPr="00047C9D">
      <w:t xml:space="preserve"> </w:t>
    </w:r>
    <w:r w:rsidR="00B511C3">
      <w:t>07</w:t>
    </w:r>
    <w:r w:rsidR="007C0F9A" w:rsidRPr="00047C9D">
      <w:t xml:space="preserve"> </w:t>
    </w:r>
    <w:r w:rsidR="00B511C3">
      <w:t>–</w:t>
    </w:r>
    <w:r w:rsidR="007C0F9A" w:rsidRPr="00047C9D">
      <w:t xml:space="preserve"> </w:t>
    </w:r>
    <w:r w:rsidR="006508A2">
      <w:t>April 18</w:t>
    </w:r>
    <w:r w:rsidR="001D1532">
      <w: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B6A17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B031D"/>
    <w:multiLevelType w:val="hybridMultilevel"/>
    <w:tmpl w:val="5D586A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7D3DED"/>
    <w:multiLevelType w:val="multilevel"/>
    <w:tmpl w:val="EEC0C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6D4419"/>
    <w:multiLevelType w:val="multilevel"/>
    <w:tmpl w:val="66A4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106C7"/>
    <w:multiLevelType w:val="multilevel"/>
    <w:tmpl w:val="41CC9A4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EE7FED"/>
    <w:multiLevelType w:val="multilevel"/>
    <w:tmpl w:val="D79C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536EF"/>
    <w:multiLevelType w:val="multilevel"/>
    <w:tmpl w:val="BCD6E0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BC7756"/>
    <w:multiLevelType w:val="multilevel"/>
    <w:tmpl w:val="16088C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E50077"/>
    <w:multiLevelType w:val="hybridMultilevel"/>
    <w:tmpl w:val="2BB29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91C89"/>
    <w:multiLevelType w:val="hybridMultilevel"/>
    <w:tmpl w:val="3E26CC3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996602"/>
    <w:multiLevelType w:val="multilevel"/>
    <w:tmpl w:val="45C4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1A5D40"/>
    <w:multiLevelType w:val="hybridMultilevel"/>
    <w:tmpl w:val="9CC01B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051888"/>
    <w:multiLevelType w:val="multilevel"/>
    <w:tmpl w:val="81DEA5B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7B4873"/>
    <w:multiLevelType w:val="hybridMultilevel"/>
    <w:tmpl w:val="0D6C49E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EF54CE"/>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8EC393B"/>
    <w:multiLevelType w:val="hybridMultilevel"/>
    <w:tmpl w:val="C16A920A"/>
    <w:lvl w:ilvl="0" w:tplc="17F8EF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7A1806"/>
    <w:multiLevelType w:val="multilevel"/>
    <w:tmpl w:val="BC9AD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B83E57"/>
    <w:multiLevelType w:val="multilevel"/>
    <w:tmpl w:val="806AFB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4ED48BE"/>
    <w:multiLevelType w:val="multilevel"/>
    <w:tmpl w:val="EF343A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126386"/>
    <w:multiLevelType w:val="hybridMultilevel"/>
    <w:tmpl w:val="94B2ED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1345EA"/>
    <w:multiLevelType w:val="hybridMultilevel"/>
    <w:tmpl w:val="9CC01B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5D154B"/>
    <w:multiLevelType w:val="multilevel"/>
    <w:tmpl w:val="3A121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EA5BCB"/>
    <w:multiLevelType w:val="multilevel"/>
    <w:tmpl w:val="D840A9C8"/>
    <w:lvl w:ilvl="0">
      <w:start w:val="1"/>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2EC0FA2"/>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7"/>
  </w:num>
  <w:num w:numId="2">
    <w:abstractNumId w:val="16"/>
  </w:num>
  <w:num w:numId="3">
    <w:abstractNumId w:val="10"/>
  </w:num>
  <w:num w:numId="4">
    <w:abstractNumId w:val="5"/>
  </w:num>
  <w:num w:numId="5">
    <w:abstractNumId w:val="21"/>
  </w:num>
  <w:num w:numId="6">
    <w:abstractNumId w:val="3"/>
  </w:num>
  <w:num w:numId="7">
    <w:abstractNumId w:val="6"/>
  </w:num>
  <w:num w:numId="8">
    <w:abstractNumId w:val="17"/>
  </w:num>
  <w:num w:numId="9">
    <w:abstractNumId w:val="2"/>
  </w:num>
  <w:num w:numId="10">
    <w:abstractNumId w:val="13"/>
  </w:num>
  <w:num w:numId="11">
    <w:abstractNumId w:val="23"/>
  </w:num>
  <w:num w:numId="12">
    <w:abstractNumId w:val="14"/>
  </w:num>
  <w:num w:numId="13">
    <w:abstractNumId w:val="22"/>
  </w:num>
  <w:num w:numId="14">
    <w:abstractNumId w:val="15"/>
  </w:num>
  <w:num w:numId="15">
    <w:abstractNumId w:val="9"/>
  </w:num>
  <w:num w:numId="16">
    <w:abstractNumId w:val="0"/>
  </w:num>
  <w:num w:numId="17">
    <w:abstractNumId w:val="18"/>
  </w:num>
  <w:num w:numId="18">
    <w:abstractNumId w:val="12"/>
  </w:num>
  <w:num w:numId="19">
    <w:abstractNumId w:val="4"/>
  </w:num>
  <w:num w:numId="20">
    <w:abstractNumId w:val="20"/>
  </w:num>
  <w:num w:numId="21">
    <w:abstractNumId w:val="11"/>
  </w:num>
  <w:num w:numId="22">
    <w:abstractNumId w:val="19"/>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48"/>
    <w:rsid w:val="00015EE7"/>
    <w:rsid w:val="00047C9D"/>
    <w:rsid w:val="00080FE5"/>
    <w:rsid w:val="00086501"/>
    <w:rsid w:val="000909B4"/>
    <w:rsid w:val="000C698D"/>
    <w:rsid w:val="00116DBD"/>
    <w:rsid w:val="0013254A"/>
    <w:rsid w:val="00143B20"/>
    <w:rsid w:val="00160BFE"/>
    <w:rsid w:val="00182D38"/>
    <w:rsid w:val="001938E3"/>
    <w:rsid w:val="001A7E44"/>
    <w:rsid w:val="001D1532"/>
    <w:rsid w:val="002164DA"/>
    <w:rsid w:val="00221761"/>
    <w:rsid w:val="0023047A"/>
    <w:rsid w:val="0027194B"/>
    <w:rsid w:val="002720FE"/>
    <w:rsid w:val="00286886"/>
    <w:rsid w:val="002C25F4"/>
    <w:rsid w:val="002C362E"/>
    <w:rsid w:val="002D2857"/>
    <w:rsid w:val="002F212D"/>
    <w:rsid w:val="00302909"/>
    <w:rsid w:val="00310661"/>
    <w:rsid w:val="00330DFB"/>
    <w:rsid w:val="0033288C"/>
    <w:rsid w:val="00335F29"/>
    <w:rsid w:val="003A27EA"/>
    <w:rsid w:val="003A784E"/>
    <w:rsid w:val="003E29F6"/>
    <w:rsid w:val="003F0AFA"/>
    <w:rsid w:val="00414350"/>
    <w:rsid w:val="00416713"/>
    <w:rsid w:val="00422B61"/>
    <w:rsid w:val="004271CF"/>
    <w:rsid w:val="00443389"/>
    <w:rsid w:val="00446248"/>
    <w:rsid w:val="00475997"/>
    <w:rsid w:val="00483DB3"/>
    <w:rsid w:val="00495FA3"/>
    <w:rsid w:val="004A50A4"/>
    <w:rsid w:val="004C57D9"/>
    <w:rsid w:val="004E3FE4"/>
    <w:rsid w:val="004F7EE3"/>
    <w:rsid w:val="005022D5"/>
    <w:rsid w:val="00503996"/>
    <w:rsid w:val="00513B81"/>
    <w:rsid w:val="00525C15"/>
    <w:rsid w:val="00536FB6"/>
    <w:rsid w:val="005504BD"/>
    <w:rsid w:val="005547BE"/>
    <w:rsid w:val="00554A73"/>
    <w:rsid w:val="005608C7"/>
    <w:rsid w:val="00577912"/>
    <w:rsid w:val="005C75F9"/>
    <w:rsid w:val="005D18CD"/>
    <w:rsid w:val="005D79C4"/>
    <w:rsid w:val="005F732A"/>
    <w:rsid w:val="00630D0E"/>
    <w:rsid w:val="006508A2"/>
    <w:rsid w:val="00660111"/>
    <w:rsid w:val="00660565"/>
    <w:rsid w:val="00670E5D"/>
    <w:rsid w:val="006B4CCF"/>
    <w:rsid w:val="006B4E3F"/>
    <w:rsid w:val="006C6B57"/>
    <w:rsid w:val="00706CE3"/>
    <w:rsid w:val="00726448"/>
    <w:rsid w:val="00740B8D"/>
    <w:rsid w:val="00741451"/>
    <w:rsid w:val="00744B1C"/>
    <w:rsid w:val="0076486C"/>
    <w:rsid w:val="00771C04"/>
    <w:rsid w:val="00781982"/>
    <w:rsid w:val="007A1722"/>
    <w:rsid w:val="007C0F9A"/>
    <w:rsid w:val="007D3A0C"/>
    <w:rsid w:val="007F58BA"/>
    <w:rsid w:val="0083466E"/>
    <w:rsid w:val="00845C1C"/>
    <w:rsid w:val="008542DF"/>
    <w:rsid w:val="008604B0"/>
    <w:rsid w:val="008704E2"/>
    <w:rsid w:val="00893FA6"/>
    <w:rsid w:val="008D0F53"/>
    <w:rsid w:val="008D1EA4"/>
    <w:rsid w:val="008D2EBD"/>
    <w:rsid w:val="008D46F8"/>
    <w:rsid w:val="008F7E6B"/>
    <w:rsid w:val="009066E4"/>
    <w:rsid w:val="00921F9F"/>
    <w:rsid w:val="009479FE"/>
    <w:rsid w:val="00954291"/>
    <w:rsid w:val="00962463"/>
    <w:rsid w:val="009632B8"/>
    <w:rsid w:val="00967BB6"/>
    <w:rsid w:val="0097688E"/>
    <w:rsid w:val="009840FC"/>
    <w:rsid w:val="009A228A"/>
    <w:rsid w:val="009A6DA7"/>
    <w:rsid w:val="009D3517"/>
    <w:rsid w:val="00A15345"/>
    <w:rsid w:val="00A3124C"/>
    <w:rsid w:val="00A50D37"/>
    <w:rsid w:val="00A70695"/>
    <w:rsid w:val="00A94F51"/>
    <w:rsid w:val="00AB3B0A"/>
    <w:rsid w:val="00AB3B17"/>
    <w:rsid w:val="00AD2B09"/>
    <w:rsid w:val="00AD54FA"/>
    <w:rsid w:val="00B02113"/>
    <w:rsid w:val="00B026CB"/>
    <w:rsid w:val="00B02AC1"/>
    <w:rsid w:val="00B079F3"/>
    <w:rsid w:val="00B17A4B"/>
    <w:rsid w:val="00B26D6A"/>
    <w:rsid w:val="00B3399B"/>
    <w:rsid w:val="00B45986"/>
    <w:rsid w:val="00B50030"/>
    <w:rsid w:val="00B511C3"/>
    <w:rsid w:val="00B75D90"/>
    <w:rsid w:val="00BC472A"/>
    <w:rsid w:val="00BF12E7"/>
    <w:rsid w:val="00BF51CA"/>
    <w:rsid w:val="00C01358"/>
    <w:rsid w:val="00C06BCC"/>
    <w:rsid w:val="00C20358"/>
    <w:rsid w:val="00C2457A"/>
    <w:rsid w:val="00C73E8E"/>
    <w:rsid w:val="00C8717B"/>
    <w:rsid w:val="00C90A24"/>
    <w:rsid w:val="00CA73B4"/>
    <w:rsid w:val="00CC31A2"/>
    <w:rsid w:val="00CC428C"/>
    <w:rsid w:val="00CC44FA"/>
    <w:rsid w:val="00CD6CF6"/>
    <w:rsid w:val="00CE4F7C"/>
    <w:rsid w:val="00CF0F83"/>
    <w:rsid w:val="00CF646D"/>
    <w:rsid w:val="00D259DB"/>
    <w:rsid w:val="00D41984"/>
    <w:rsid w:val="00D60A66"/>
    <w:rsid w:val="00D672E3"/>
    <w:rsid w:val="00D74879"/>
    <w:rsid w:val="00D90D40"/>
    <w:rsid w:val="00D93703"/>
    <w:rsid w:val="00DA034B"/>
    <w:rsid w:val="00DA2340"/>
    <w:rsid w:val="00DB1A61"/>
    <w:rsid w:val="00E126FE"/>
    <w:rsid w:val="00E30E70"/>
    <w:rsid w:val="00E44456"/>
    <w:rsid w:val="00E512E3"/>
    <w:rsid w:val="00E674AE"/>
    <w:rsid w:val="00E822A7"/>
    <w:rsid w:val="00E86548"/>
    <w:rsid w:val="00EA2A4D"/>
    <w:rsid w:val="00EC4B33"/>
    <w:rsid w:val="00F22C71"/>
    <w:rsid w:val="00F362E0"/>
    <w:rsid w:val="00F702C8"/>
    <w:rsid w:val="00F74D86"/>
    <w:rsid w:val="00F84F77"/>
    <w:rsid w:val="00F96821"/>
    <w:rsid w:val="00FC07E4"/>
    <w:rsid w:val="00FD2DAC"/>
    <w:rsid w:val="00FF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0DA25D"/>
  <w15:chartTrackingRefBased/>
  <w15:docId w15:val="{520DEEE8-BC06-4E75-B660-DC81B356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26448"/>
    <w:pPr>
      <w:spacing w:before="100" w:beforeAutospacing="1" w:after="100" w:afterAutospacing="1"/>
    </w:pPr>
  </w:style>
  <w:style w:type="table" w:styleId="TableGrid">
    <w:name w:val="Table Grid"/>
    <w:basedOn w:val="TableNormal"/>
    <w:rsid w:val="0072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C428C"/>
    <w:rPr>
      <w:rFonts w:ascii="Tahoma" w:hAnsi="Tahoma" w:cs="Tahoma"/>
      <w:sz w:val="16"/>
      <w:szCs w:val="16"/>
    </w:rPr>
  </w:style>
  <w:style w:type="character" w:styleId="CommentReference">
    <w:name w:val="annotation reference"/>
    <w:semiHidden/>
    <w:rsid w:val="00DA2340"/>
    <w:rPr>
      <w:sz w:val="16"/>
      <w:szCs w:val="16"/>
    </w:rPr>
  </w:style>
  <w:style w:type="paragraph" w:styleId="CommentText">
    <w:name w:val="annotation text"/>
    <w:basedOn w:val="Normal"/>
    <w:semiHidden/>
    <w:rsid w:val="00DA2340"/>
    <w:rPr>
      <w:sz w:val="20"/>
      <w:szCs w:val="20"/>
    </w:rPr>
  </w:style>
  <w:style w:type="paragraph" w:styleId="CommentSubject">
    <w:name w:val="annotation subject"/>
    <w:basedOn w:val="CommentText"/>
    <w:next w:val="CommentText"/>
    <w:semiHidden/>
    <w:rsid w:val="00DA2340"/>
    <w:rPr>
      <w:b/>
      <w:bCs/>
    </w:rPr>
  </w:style>
  <w:style w:type="paragraph" w:styleId="Header">
    <w:name w:val="header"/>
    <w:basedOn w:val="Normal"/>
    <w:rsid w:val="009066E4"/>
    <w:pPr>
      <w:tabs>
        <w:tab w:val="center" w:pos="4320"/>
        <w:tab w:val="right" w:pos="8640"/>
      </w:tabs>
    </w:pPr>
  </w:style>
  <w:style w:type="paragraph" w:styleId="Footer">
    <w:name w:val="footer"/>
    <w:basedOn w:val="Normal"/>
    <w:link w:val="FooterChar"/>
    <w:uiPriority w:val="99"/>
    <w:rsid w:val="009066E4"/>
    <w:pPr>
      <w:tabs>
        <w:tab w:val="center" w:pos="4320"/>
        <w:tab w:val="right" w:pos="8640"/>
      </w:tabs>
    </w:pPr>
  </w:style>
  <w:style w:type="character" w:customStyle="1" w:styleId="FooterChar">
    <w:name w:val="Footer Char"/>
    <w:link w:val="Footer"/>
    <w:uiPriority w:val="99"/>
    <w:rsid w:val="003F0AFA"/>
    <w:rPr>
      <w:sz w:val="24"/>
      <w:szCs w:val="24"/>
    </w:rPr>
  </w:style>
  <w:style w:type="character" w:styleId="Strong">
    <w:name w:val="Strong"/>
    <w:uiPriority w:val="22"/>
    <w:qFormat/>
    <w:rsid w:val="002C25F4"/>
    <w:rPr>
      <w:b/>
      <w:bCs/>
    </w:rPr>
  </w:style>
  <w:style w:type="paragraph" w:styleId="ListParagraph">
    <w:name w:val="List Paragraph"/>
    <w:basedOn w:val="Normal"/>
    <w:uiPriority w:val="34"/>
    <w:qFormat/>
    <w:rsid w:val="008D1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3299">
      <w:bodyDiv w:val="1"/>
      <w:marLeft w:val="0"/>
      <w:marRight w:val="0"/>
      <w:marTop w:val="0"/>
      <w:marBottom w:val="0"/>
      <w:divBdr>
        <w:top w:val="none" w:sz="0" w:space="0" w:color="auto"/>
        <w:left w:val="none" w:sz="0" w:space="0" w:color="auto"/>
        <w:bottom w:val="none" w:sz="0" w:space="0" w:color="auto"/>
        <w:right w:val="none" w:sz="0" w:space="0" w:color="auto"/>
      </w:divBdr>
    </w:div>
    <w:div w:id="485174300">
      <w:bodyDiv w:val="1"/>
      <w:marLeft w:val="0"/>
      <w:marRight w:val="0"/>
      <w:marTop w:val="0"/>
      <w:marBottom w:val="0"/>
      <w:divBdr>
        <w:top w:val="none" w:sz="0" w:space="0" w:color="auto"/>
        <w:left w:val="none" w:sz="0" w:space="0" w:color="auto"/>
        <w:bottom w:val="none" w:sz="0" w:space="0" w:color="auto"/>
        <w:right w:val="none" w:sz="0" w:space="0" w:color="auto"/>
      </w:divBdr>
    </w:div>
    <w:div w:id="623729954">
      <w:bodyDiv w:val="1"/>
      <w:marLeft w:val="0"/>
      <w:marRight w:val="0"/>
      <w:marTop w:val="0"/>
      <w:marBottom w:val="0"/>
      <w:divBdr>
        <w:top w:val="none" w:sz="0" w:space="0" w:color="auto"/>
        <w:left w:val="none" w:sz="0" w:space="0" w:color="auto"/>
        <w:bottom w:val="none" w:sz="0" w:space="0" w:color="auto"/>
        <w:right w:val="none" w:sz="0" w:space="0" w:color="auto"/>
      </w:divBdr>
    </w:div>
    <w:div w:id="870847310">
      <w:bodyDiv w:val="1"/>
      <w:marLeft w:val="0"/>
      <w:marRight w:val="0"/>
      <w:marTop w:val="0"/>
      <w:marBottom w:val="0"/>
      <w:divBdr>
        <w:top w:val="none" w:sz="0" w:space="0" w:color="auto"/>
        <w:left w:val="none" w:sz="0" w:space="0" w:color="auto"/>
        <w:bottom w:val="none" w:sz="0" w:space="0" w:color="auto"/>
        <w:right w:val="none" w:sz="0" w:space="0" w:color="auto"/>
      </w:divBdr>
    </w:div>
    <w:div w:id="12607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428</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Operating Procedure 06 Region Directors</vt:lpstr>
    </vt:vector>
  </TitlesOfParts>
  <Company>UNL</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Procedure 06 Region Directors</dc:title>
  <dc:subject/>
  <dc:creator>Construction Management</dc:creator>
  <cp:keywords/>
  <cp:lastModifiedBy>Lori Brown</cp:lastModifiedBy>
  <cp:revision>12</cp:revision>
  <cp:lastPrinted>2015-03-19T19:22:00Z</cp:lastPrinted>
  <dcterms:created xsi:type="dcterms:W3CDTF">2018-03-20T14:38:00Z</dcterms:created>
  <dcterms:modified xsi:type="dcterms:W3CDTF">2018-04-18T19:49:00Z</dcterms:modified>
</cp:coreProperties>
</file>